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10" w:rsidRDefault="009E47B3" w:rsidP="00EB4210">
      <w:pPr>
        <w:ind w:left="1440"/>
        <w:jc w:val="center"/>
        <w:rPr>
          <w:b/>
          <w:sz w:val="96"/>
          <w:lang w:val="es-ES"/>
        </w:rPr>
      </w:pPr>
      <w:r w:rsidRPr="000C0E19">
        <w:rPr>
          <w:noProof/>
        </w:rPr>
        <w:drawing>
          <wp:anchor distT="0" distB="0" distL="114300" distR="114300" simplePos="0" relativeHeight="251660288" behindDoc="1" locked="0" layoutInCell="1" allowOverlap="1" wp14:anchorId="20499031" wp14:editId="412D71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691005"/>
            <wp:effectExtent l="0" t="0" r="9525" b="4445"/>
            <wp:wrapThrough wrapText="bothSides">
              <wp:wrapPolygon edited="0">
                <wp:start x="0" y="0"/>
                <wp:lineTo x="0" y="21413"/>
                <wp:lineTo x="21533" y="21413"/>
                <wp:lineTo x="2153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09C" w:rsidRPr="000C0E19">
        <w:rPr>
          <w:b/>
          <w:sz w:val="96"/>
          <w:lang w:val="es-ES"/>
        </w:rPr>
        <w:t>COMUNIDAD EDUCATIVA</w:t>
      </w:r>
    </w:p>
    <w:p w:rsidR="005347E6" w:rsidRPr="000C0E19" w:rsidRDefault="005347E6" w:rsidP="00EB4210">
      <w:pPr>
        <w:ind w:left="1440"/>
        <w:jc w:val="center"/>
        <w:rPr>
          <w:lang w:val="es-ES"/>
        </w:rPr>
      </w:pPr>
    </w:p>
    <w:p w:rsidR="005347E6" w:rsidRPr="00FF7A8D" w:rsidRDefault="009E47B3" w:rsidP="005347E6">
      <w:pPr>
        <w:spacing w:after="0" w:line="240" w:lineRule="auto"/>
        <w:ind w:left="720"/>
        <w:jc w:val="both"/>
        <w:rPr>
          <w:b/>
          <w:noProof/>
          <w:sz w:val="72"/>
          <w:lang w:val="es-ES"/>
        </w:rPr>
      </w:pPr>
      <w:r w:rsidRPr="00FF7A8D">
        <w:rPr>
          <w:b/>
          <w:noProof/>
          <w:sz w:val="72"/>
        </w:rPr>
        <w:drawing>
          <wp:anchor distT="0" distB="0" distL="114300" distR="114300" simplePos="0" relativeHeight="251662336" behindDoc="1" locked="0" layoutInCell="1" allowOverlap="1" wp14:anchorId="4D2263D6" wp14:editId="3B5CDAB7">
            <wp:simplePos x="0" y="0"/>
            <wp:positionH relativeFrom="column">
              <wp:posOffset>6097651</wp:posOffset>
            </wp:positionH>
            <wp:positionV relativeFrom="paragraph">
              <wp:posOffset>1767967</wp:posOffset>
            </wp:positionV>
            <wp:extent cx="2568808" cy="1421175"/>
            <wp:effectExtent l="0" t="0" r="3175" b="7620"/>
            <wp:wrapThrough wrapText="bothSides">
              <wp:wrapPolygon edited="0">
                <wp:start x="0" y="0"/>
                <wp:lineTo x="0" y="21426"/>
                <wp:lineTo x="21467" y="21426"/>
                <wp:lineTo x="2146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808" cy="142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A8D" w:rsidRPr="00FF7A8D">
        <w:rPr>
          <w:b/>
          <w:noProof/>
          <w:sz w:val="72"/>
          <w:lang w:val="es-ES"/>
        </w:rPr>
        <w:t xml:space="preserve">LICITACIÓN PARA LA TIENDA ESCOLAR PARA 2024 </w:t>
      </w:r>
    </w:p>
    <w:p w:rsidR="00FF7A8D" w:rsidRPr="00FF7A8D" w:rsidRDefault="00FF7A8D" w:rsidP="00FF7A8D">
      <w:pPr>
        <w:spacing w:after="0" w:line="240" w:lineRule="auto"/>
        <w:jc w:val="both"/>
        <w:rPr>
          <w:b/>
          <w:noProof/>
          <w:sz w:val="72"/>
          <w:lang w:val="es-ES"/>
        </w:rPr>
      </w:pPr>
    </w:p>
    <w:p w:rsidR="00FF7A8D" w:rsidRPr="00FF7A8D" w:rsidRDefault="00FF7A8D" w:rsidP="005347E6">
      <w:pPr>
        <w:spacing w:after="0" w:line="240" w:lineRule="auto"/>
        <w:ind w:left="720"/>
        <w:jc w:val="both"/>
        <w:rPr>
          <w:b/>
          <w:sz w:val="300"/>
          <w:lang w:val="es-ES"/>
        </w:rPr>
      </w:pPr>
      <w:r w:rsidRPr="00FF7A8D">
        <w:rPr>
          <w:b/>
          <w:noProof/>
          <w:sz w:val="72"/>
          <w:lang w:val="es-ES"/>
        </w:rPr>
        <w:t>DESDE EL 2 DE NOVIEMBRE HASTA EL 10 DE NOVIEMBRE 2023.</w:t>
      </w:r>
    </w:p>
    <w:p w:rsidR="008D697D" w:rsidRDefault="008D697D" w:rsidP="008D697D">
      <w:pPr>
        <w:ind w:left="1440"/>
        <w:jc w:val="center"/>
        <w:rPr>
          <w:b/>
          <w:sz w:val="96"/>
          <w:lang w:val="es-ES"/>
        </w:rPr>
      </w:pPr>
      <w:r w:rsidRPr="000C0E19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9DBA5C2" wp14:editId="2A7300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691005"/>
            <wp:effectExtent l="0" t="0" r="9525" b="4445"/>
            <wp:wrapThrough wrapText="bothSides">
              <wp:wrapPolygon edited="0">
                <wp:start x="0" y="0"/>
                <wp:lineTo x="0" y="21413"/>
                <wp:lineTo x="21533" y="21413"/>
                <wp:lineTo x="2153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E19">
        <w:rPr>
          <w:b/>
          <w:sz w:val="96"/>
          <w:lang w:val="es-ES"/>
        </w:rPr>
        <w:t>COMUNIDAD EDUCATIVA</w:t>
      </w:r>
    </w:p>
    <w:p w:rsidR="008D697D" w:rsidRPr="000C0E19" w:rsidRDefault="008D697D" w:rsidP="008D697D">
      <w:pPr>
        <w:ind w:left="1440"/>
        <w:jc w:val="center"/>
        <w:rPr>
          <w:lang w:val="es-ES"/>
        </w:rPr>
      </w:pPr>
    </w:p>
    <w:p w:rsidR="008D697D" w:rsidRDefault="008D697D" w:rsidP="008D697D">
      <w:pPr>
        <w:spacing w:after="0" w:line="240" w:lineRule="auto"/>
        <w:ind w:left="720"/>
        <w:jc w:val="both"/>
        <w:rPr>
          <w:b/>
          <w:sz w:val="72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8DCC1D6" wp14:editId="6804DF85">
            <wp:simplePos x="0" y="0"/>
            <wp:positionH relativeFrom="column">
              <wp:posOffset>6097651</wp:posOffset>
            </wp:positionH>
            <wp:positionV relativeFrom="paragraph">
              <wp:posOffset>1767967</wp:posOffset>
            </wp:positionV>
            <wp:extent cx="2568808" cy="1421175"/>
            <wp:effectExtent l="0" t="0" r="3175" b="7620"/>
            <wp:wrapThrough wrapText="bothSides">
              <wp:wrapPolygon edited="0">
                <wp:start x="0" y="0"/>
                <wp:lineTo x="0" y="21426"/>
                <wp:lineTo x="21467" y="21426"/>
                <wp:lineTo x="2146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808" cy="142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72"/>
          <w:lang w:val="es-ES"/>
        </w:rPr>
        <w:t xml:space="preserve">NOTA: LOS DOCUMENTOS HABILITANTES DEBEN DE SER ENTREGADOS MÁXIMO EL DÍA 10 DE NOVIEMBRE HASTA LAS 11:30AM, EN UN SOBRE DE MANILA MARCADO CON LOS DATOS PERSONALES. </w:t>
      </w:r>
    </w:p>
    <w:p w:rsidR="004B4099" w:rsidRPr="004B4099" w:rsidRDefault="004B4099" w:rsidP="004B4099">
      <w:pPr>
        <w:pStyle w:val="NormalWeb"/>
        <w:spacing w:before="8" w:beforeAutospacing="0" w:after="0" w:afterAutospacing="0"/>
        <w:ind w:left="1892" w:right="8" w:hanging="376"/>
        <w:rPr>
          <w:rFonts w:ascii="Calibri" w:hAnsi="Calibri" w:cs="Calibri"/>
          <w:color w:val="000000"/>
          <w:szCs w:val="22"/>
          <w:lang w:val="es-ES"/>
        </w:rPr>
      </w:pPr>
    </w:p>
    <w:p w:rsidR="004B4099" w:rsidRPr="004B4099" w:rsidRDefault="004B4099" w:rsidP="004B4099">
      <w:pPr>
        <w:pStyle w:val="NormalWeb"/>
        <w:spacing w:before="277" w:beforeAutospacing="0" w:after="0" w:afterAutospacing="0"/>
        <w:ind w:left="720"/>
        <w:jc w:val="center"/>
        <w:rPr>
          <w:sz w:val="28"/>
        </w:rPr>
      </w:pPr>
      <w:r w:rsidRPr="004B4099">
        <w:rPr>
          <w:rFonts w:ascii="Calibri" w:hAnsi="Calibri" w:cs="Calibri"/>
          <w:b/>
          <w:bCs/>
          <w:color w:val="000000"/>
          <w:sz w:val="28"/>
        </w:rPr>
        <w:lastRenderedPageBreak/>
        <w:t>REQUISITOS HABILITANTES: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13" w:beforeAutospacing="0" w:after="0" w:afterAutospacing="0"/>
        <w:ind w:right="4"/>
        <w:jc w:val="both"/>
        <w:rPr>
          <w:rFonts w:ascii="Calibri" w:hAnsi="Calibri" w:cs="Calibri"/>
          <w:color w:val="000000"/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Registro Único Tributario RUT actualizado, con la actividad </w:t>
      </w:r>
      <w:r w:rsidRPr="004B4099">
        <w:rPr>
          <w:rFonts w:ascii="Calibri" w:hAnsi="Calibri" w:cs="Calibri"/>
          <w:color w:val="000000"/>
          <w:lang w:val="es-ES"/>
        </w:rPr>
        <w:t>económica correspondiente</w:t>
      </w:r>
      <w:r w:rsidRPr="004B4099">
        <w:rPr>
          <w:rFonts w:ascii="Calibri" w:hAnsi="Calibri" w:cs="Calibri"/>
          <w:color w:val="000000"/>
          <w:lang w:val="es-ES"/>
        </w:rPr>
        <w:t xml:space="preserve"> al servicio a prestar el RUT tenga fecha de generación inferior a </w:t>
      </w:r>
      <w:r w:rsidRPr="004B4099">
        <w:rPr>
          <w:rFonts w:ascii="Calibri" w:hAnsi="Calibri" w:cs="Calibri"/>
          <w:color w:val="000000"/>
          <w:lang w:val="es-ES"/>
        </w:rPr>
        <w:t>un mes</w:t>
      </w:r>
      <w:r>
        <w:rPr>
          <w:rFonts w:ascii="Calibri" w:hAnsi="Calibri" w:cs="Calibri"/>
          <w:color w:val="000000"/>
          <w:lang w:val="es-ES"/>
        </w:rPr>
        <w:t>.</w:t>
      </w:r>
      <w:r w:rsidRPr="004B4099">
        <w:rPr>
          <w:rFonts w:ascii="Calibri" w:hAnsi="Calibri" w:cs="Calibri"/>
          <w:color w:val="000000"/>
          <w:lang w:val="es-ES"/>
        </w:rPr>
        <w:t>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7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Certificado de cámara de comercio, con la actividad económica correspondiente </w:t>
      </w:r>
      <w:r w:rsidRPr="004B4099">
        <w:rPr>
          <w:rFonts w:ascii="Calibri" w:hAnsi="Calibri" w:cs="Calibri"/>
          <w:color w:val="000000"/>
          <w:lang w:val="es-ES"/>
        </w:rPr>
        <w:t>al servicio</w:t>
      </w:r>
      <w:r w:rsidRPr="004B4099">
        <w:rPr>
          <w:rFonts w:ascii="Calibri" w:hAnsi="Calibri" w:cs="Calibri"/>
          <w:color w:val="000000"/>
          <w:lang w:val="es-ES"/>
        </w:rPr>
        <w:t xml:space="preserve"> a prestar, renovada en el año actual y no mayor a tres meses de </w:t>
      </w:r>
      <w:r w:rsidRPr="004B4099">
        <w:rPr>
          <w:rFonts w:ascii="Calibri" w:hAnsi="Calibri" w:cs="Calibri"/>
          <w:color w:val="000000"/>
          <w:lang w:val="es-ES"/>
        </w:rPr>
        <w:t>expedición</w:t>
      </w:r>
      <w:r w:rsidRPr="004B4099">
        <w:rPr>
          <w:rFonts w:ascii="Calibri" w:hAnsi="Calibri" w:cs="Calibri"/>
          <w:color w:val="000000"/>
          <w:lang w:val="es-ES"/>
        </w:rPr>
        <w:t xml:space="preserve"> 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7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Certificado de antecedentes disciplinarios, expedido por la procuraduría general </w:t>
      </w:r>
      <w:r w:rsidRPr="004B4099">
        <w:rPr>
          <w:rFonts w:ascii="Calibri" w:hAnsi="Calibri" w:cs="Calibri"/>
          <w:color w:val="000000"/>
          <w:lang w:val="es-ES"/>
        </w:rPr>
        <w:t>de la</w:t>
      </w:r>
      <w:r w:rsidRPr="004B4099">
        <w:rPr>
          <w:rFonts w:ascii="Calibri" w:hAnsi="Calibri" w:cs="Calibri"/>
          <w:color w:val="000000"/>
          <w:lang w:val="es-ES"/>
        </w:rPr>
        <w:t xml:space="preserve"> nación (Verificados en línea por la Institución)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2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Certificado de responsabilidad fiscal expedido por la contraloría general de </w:t>
      </w:r>
      <w:r w:rsidRPr="004B4099">
        <w:rPr>
          <w:rFonts w:ascii="Calibri" w:hAnsi="Calibri" w:cs="Calibri"/>
          <w:color w:val="000000"/>
          <w:lang w:val="es-ES"/>
        </w:rPr>
        <w:t>la nación</w:t>
      </w:r>
      <w:r w:rsidRPr="004B4099">
        <w:rPr>
          <w:rFonts w:ascii="Calibri" w:hAnsi="Calibri" w:cs="Calibri"/>
          <w:color w:val="000000"/>
          <w:lang w:val="es-ES"/>
        </w:rPr>
        <w:t xml:space="preserve"> (Verificados en línea por la Institución)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6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Certificado antecedentes penales, expedido por la Policía Nacional (Verificados </w:t>
      </w:r>
      <w:r w:rsidRPr="004B4099">
        <w:rPr>
          <w:rFonts w:ascii="Calibri" w:hAnsi="Calibri" w:cs="Calibri"/>
          <w:color w:val="000000"/>
          <w:lang w:val="es-ES"/>
        </w:rPr>
        <w:t>en línea</w:t>
      </w:r>
      <w:r w:rsidRPr="004B4099">
        <w:rPr>
          <w:rFonts w:ascii="Calibri" w:hAnsi="Calibri" w:cs="Calibri"/>
          <w:color w:val="000000"/>
          <w:lang w:val="es-ES"/>
        </w:rPr>
        <w:t xml:space="preserve"> por la Institución)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3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Certificado expedido por el Sistema Registro Nacional de Medidas Correctivas </w:t>
      </w:r>
      <w:r w:rsidRPr="004B4099">
        <w:rPr>
          <w:rFonts w:ascii="Calibri" w:hAnsi="Calibri" w:cs="Calibri"/>
          <w:color w:val="000000"/>
          <w:lang w:val="es-ES"/>
        </w:rPr>
        <w:t>RNMC (</w:t>
      </w:r>
      <w:r w:rsidRPr="004B4099">
        <w:rPr>
          <w:rFonts w:ascii="Calibri" w:hAnsi="Calibri" w:cs="Calibri"/>
          <w:color w:val="000000"/>
          <w:lang w:val="es-ES"/>
        </w:rPr>
        <w:t>Verificados en línea por la Institución)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7" w:beforeAutospacing="0" w:after="0" w:afterAutospacing="0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>Certificado de delitos sexuales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13" w:beforeAutospacing="0" w:after="0" w:afterAutospacing="0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>Hoja de vida en el formato la función pública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13" w:beforeAutospacing="0" w:after="0" w:afterAutospacing="0"/>
        <w:rPr>
          <w:lang w:val="es-ES"/>
        </w:rPr>
      </w:pPr>
      <w:r>
        <w:rPr>
          <w:rFonts w:ascii="Calibri" w:hAnsi="Calibri" w:cs="Calibri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>Documentación que certifica la experiencia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13" w:beforeAutospacing="0" w:after="0" w:afterAutospacing="0"/>
        <w:jc w:val="both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Afiliación al régimen de seguridad social como </w:t>
      </w:r>
      <w:r w:rsidRPr="004B4099">
        <w:rPr>
          <w:rFonts w:ascii="Calibri" w:hAnsi="Calibri" w:cs="Calibri"/>
          <w:color w:val="000000"/>
          <w:u w:val="single"/>
          <w:lang w:val="es-ES"/>
        </w:rPr>
        <w:t>Independiente</w:t>
      </w:r>
      <w:r w:rsidRPr="004B4099">
        <w:rPr>
          <w:rFonts w:ascii="Calibri" w:hAnsi="Calibri" w:cs="Calibri"/>
          <w:color w:val="000000"/>
          <w:lang w:val="es-ES"/>
        </w:rPr>
        <w:t xml:space="preserve">, si es elegido </w:t>
      </w:r>
      <w:r w:rsidRPr="004B4099">
        <w:rPr>
          <w:rFonts w:ascii="Calibri" w:hAnsi="Calibri" w:cs="Calibri"/>
          <w:color w:val="000000"/>
          <w:lang w:val="es-ES"/>
        </w:rPr>
        <w:t>deberá presentar</w:t>
      </w:r>
      <w:r w:rsidRPr="004B4099">
        <w:rPr>
          <w:rFonts w:ascii="Calibri" w:hAnsi="Calibri" w:cs="Calibri"/>
          <w:color w:val="000000"/>
          <w:lang w:val="es-ES"/>
        </w:rPr>
        <w:t xml:space="preserve"> para la firma del contrato la planilla de pago y pagarla todos los meses </w:t>
      </w:r>
      <w:r w:rsidRPr="004B4099">
        <w:rPr>
          <w:rFonts w:ascii="Calibri" w:hAnsi="Calibri" w:cs="Calibri"/>
          <w:color w:val="000000"/>
          <w:lang w:val="es-ES"/>
        </w:rPr>
        <w:t>del contrato</w:t>
      </w:r>
      <w:r w:rsidRPr="004B4099">
        <w:rPr>
          <w:rFonts w:ascii="Calibri" w:hAnsi="Calibri" w:cs="Calibri"/>
          <w:color w:val="000000"/>
          <w:lang w:val="es-ES"/>
        </w:rPr>
        <w:t>.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52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Certificado de manipulación de alimentos vigente, para el servicio de tienda escolar </w:t>
      </w:r>
      <w:r w:rsidRPr="004B4099">
        <w:rPr>
          <w:rFonts w:ascii="Segoe UI Symbol" w:hAnsi="Segoe UI Symbol" w:cs="Segoe UI Symbol"/>
          <w:color w:val="000000"/>
          <w:lang w:val="es-ES"/>
        </w:rPr>
        <w:t>➢</w:t>
      </w: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>Fotocopia de la cédula de ciudadanía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4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Estar a paz y salvo con la Institución y Secretaría de Educación (Se entiende </w:t>
      </w:r>
      <w:r w:rsidRPr="004B4099">
        <w:rPr>
          <w:rFonts w:ascii="Calibri" w:hAnsi="Calibri" w:cs="Calibri"/>
          <w:color w:val="000000"/>
          <w:lang w:val="es-ES"/>
        </w:rPr>
        <w:t>cumplido con</w:t>
      </w:r>
      <w:r w:rsidRPr="004B4099">
        <w:rPr>
          <w:rFonts w:ascii="Calibri" w:hAnsi="Calibri" w:cs="Calibri"/>
          <w:color w:val="000000"/>
          <w:lang w:val="es-ES"/>
        </w:rPr>
        <w:t xml:space="preserve"> manifestación escrita bajo la gravedad de juramento) </w:t>
      </w:r>
    </w:p>
    <w:p w:rsidR="004B4099" w:rsidRPr="004B4099" w:rsidRDefault="004B4099" w:rsidP="004B4099">
      <w:pPr>
        <w:pStyle w:val="NormalWeb"/>
        <w:numPr>
          <w:ilvl w:val="0"/>
          <w:numId w:val="1"/>
        </w:numPr>
        <w:spacing w:before="9" w:beforeAutospacing="0" w:after="0" w:afterAutospacing="0"/>
        <w:ind w:right="3"/>
        <w:jc w:val="both"/>
        <w:rPr>
          <w:lang w:val="es-ES"/>
        </w:rPr>
      </w:pPr>
      <w:r w:rsidRPr="004B4099">
        <w:rPr>
          <w:rFonts w:ascii="Arial" w:hAnsi="Arial" w:cs="Arial"/>
          <w:color w:val="000000"/>
          <w:lang w:val="es-ES"/>
        </w:rPr>
        <w:t xml:space="preserve"> </w:t>
      </w:r>
      <w:r w:rsidRPr="004B4099">
        <w:rPr>
          <w:rFonts w:ascii="Calibri" w:hAnsi="Calibri" w:cs="Calibri"/>
          <w:color w:val="000000"/>
          <w:lang w:val="es-ES"/>
        </w:rPr>
        <w:t xml:space="preserve">Ofertar Alimentos saludables: Se debe presentar una lista con los alimentos que </w:t>
      </w:r>
      <w:r w:rsidRPr="004B4099">
        <w:rPr>
          <w:rFonts w:ascii="Calibri" w:hAnsi="Calibri" w:cs="Calibri"/>
          <w:color w:val="000000"/>
          <w:lang w:val="es-ES"/>
        </w:rPr>
        <w:t>se van</w:t>
      </w:r>
      <w:r w:rsidRPr="004B4099">
        <w:rPr>
          <w:rFonts w:ascii="Calibri" w:hAnsi="Calibri" w:cs="Calibri"/>
          <w:color w:val="000000"/>
          <w:lang w:val="es-ES"/>
        </w:rPr>
        <w:t xml:space="preserve"> a ofrecer en la tienda y de acuerdo con su clasificación, se establecerá si </w:t>
      </w:r>
      <w:r w:rsidRPr="004B4099">
        <w:rPr>
          <w:rFonts w:ascii="Calibri" w:hAnsi="Calibri" w:cs="Calibri"/>
          <w:color w:val="000000"/>
          <w:lang w:val="es-ES"/>
        </w:rPr>
        <w:t>cumple con</w:t>
      </w:r>
      <w:r w:rsidRPr="004B4099">
        <w:rPr>
          <w:rFonts w:ascii="Calibri" w:hAnsi="Calibri" w:cs="Calibri"/>
          <w:color w:val="000000"/>
          <w:lang w:val="es-ES"/>
        </w:rPr>
        <w:t xml:space="preserve"> la oferta de 60% de alimentos Saludables y 40% de alimentos procesados o </w:t>
      </w:r>
      <w:r w:rsidRPr="004B4099">
        <w:rPr>
          <w:rFonts w:ascii="Calibri" w:hAnsi="Calibri" w:cs="Calibri"/>
          <w:color w:val="000000"/>
          <w:lang w:val="es-ES"/>
        </w:rPr>
        <w:t>ultra procesados</w:t>
      </w:r>
      <w:r w:rsidRPr="004B4099">
        <w:rPr>
          <w:rFonts w:ascii="Calibri" w:hAnsi="Calibri" w:cs="Calibri"/>
          <w:color w:val="000000"/>
          <w:lang w:val="es-ES"/>
        </w:rPr>
        <w:t>. (para el servicio de tienda escolar) </w:t>
      </w:r>
    </w:p>
    <w:p w:rsid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4B4099" w:rsidRPr="004B4099" w:rsidRDefault="004B4099" w:rsidP="004B4099">
      <w:pPr>
        <w:pStyle w:val="NormalWeb"/>
        <w:spacing w:before="9" w:beforeAutospacing="0" w:after="0" w:afterAutospacing="0"/>
        <w:ind w:left="720" w:right="3"/>
        <w:jc w:val="both"/>
        <w:rPr>
          <w:lang w:val="es-ES"/>
        </w:rPr>
      </w:pPr>
    </w:p>
    <w:p w:rsidR="00BA7DBE" w:rsidRPr="004B4099" w:rsidRDefault="00BA7DBE" w:rsidP="00BA7DBE">
      <w:pPr>
        <w:pStyle w:val="NormalWeb"/>
        <w:spacing w:before="277" w:beforeAutospacing="0" w:after="0" w:afterAutospacing="0"/>
        <w:ind w:left="830"/>
        <w:jc w:val="center"/>
        <w:rPr>
          <w:sz w:val="32"/>
          <w:lang w:val="es-ES"/>
        </w:rPr>
      </w:pPr>
      <w:r w:rsidRPr="004B4099">
        <w:rPr>
          <w:rFonts w:ascii="Calibri" w:hAnsi="Calibri" w:cs="Calibri"/>
          <w:b/>
          <w:bCs/>
          <w:color w:val="000000"/>
          <w:sz w:val="28"/>
          <w:szCs w:val="22"/>
          <w:lang w:val="es-ES"/>
        </w:rPr>
        <w:lastRenderedPageBreak/>
        <w:t>INHABILIDADES E INCOMPATIBILIDADES PARA CONTRATAR</w:t>
      </w:r>
    </w:p>
    <w:p w:rsidR="00BA7DBE" w:rsidRPr="004B4099" w:rsidRDefault="00BA7DBE" w:rsidP="00BA7DBE">
      <w:pPr>
        <w:pStyle w:val="NormalWeb"/>
        <w:spacing w:before="11" w:beforeAutospacing="0" w:after="0" w:afterAutospacing="0"/>
        <w:ind w:left="833" w:right="7" w:firstLine="9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No podrán celebrar contratos con la INSTITUCIÓN EDUCATIVA, por sí o por interpuesta persona, quienes se encuentren inhabilitados o concurriese en ellos en alguna incompatibilidad de acuerdo a las normas legales vigentes. </w:t>
      </w:r>
    </w:p>
    <w:p w:rsidR="00BA7DBE" w:rsidRPr="004B4099" w:rsidRDefault="00BA7DBE" w:rsidP="00BA7DBE">
      <w:pPr>
        <w:pStyle w:val="NormalWeb"/>
        <w:spacing w:before="274" w:beforeAutospacing="0" w:after="0" w:afterAutospacing="0"/>
        <w:ind w:left="833" w:right="8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Con el fin de evitar contratar con personas incursas en causales de inhabilidad incompatibilidad, se debe verificar previo a la celebración del contrato las situaciones contenidas en el artículo 8 de la ley 80 de 1993, especialmente las siguientes: 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277" w:beforeAutospacing="0" w:after="0" w:afterAutospacing="0"/>
        <w:ind w:right="6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Las personas que se hallen inhabilitadas para contratar por la Constitución y las leyes.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8" w:beforeAutospacing="0" w:after="0" w:afterAutospacing="0"/>
        <w:ind w:right="7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Quienes participaron en las licitaciones o concursos o celebraron los contratos de que trata el literal anterior estando inhabilitados.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8" w:beforeAutospacing="0" w:after="0" w:afterAutospacing="0"/>
        <w:ind w:right="6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Quienes en sentencia judicial hayan sido condenados a la pena accesoria de interdicción de derechos y funciones públicas y quienes hayan sido sancionados disciplinariamente con destitución. 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9" w:beforeAutospacing="0" w:after="0" w:afterAutospacing="0"/>
        <w:ind w:right="312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Quienes sin justa causa se abstengan de suscribir el contrato estatal adjudicado. E. Los servidores públicos.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8" w:beforeAutospacing="0" w:after="0" w:afterAutospacing="0"/>
        <w:ind w:right="7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Quienes sean cónyuges o compañeros permanentes y quienes se encuentren dentro del segundo grado de consanguinidad o segundo de afinidad con cualquier otra persona que formalmente haya presentado propuesta para una misma licitación o concurso. 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8" w:beforeAutospacing="0" w:after="0" w:afterAutospacing="0"/>
        <w:ind w:right="7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Quienes fueron miembros de la junta o consejo directivo o servidores públicos de la entidad contratante. Esta incompatibilidad solo comprende a quienes desempeñaron funciones en los niveles directivo, asesor o ejecutivo y se extiende por el término de un (1) año, contado a partir de la fecha del retiro.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9" w:beforeAutospacing="0" w:after="0" w:afterAutospacing="0"/>
        <w:ind w:right="6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Las personas que tengan vínculos de parentesco, hasta el segundo grado de consanguinidad, segundo de afinidad o primero civil con los servidores públicos de los niveles directivos, asesor, ejecutivo o con los miembros de la junta o consejo directivo, o con las personas que ejerzan el control interno o fiscal de la entidad contratante. </w:t>
      </w:r>
    </w:p>
    <w:p w:rsidR="00BA7DBE" w:rsidRPr="004B4099" w:rsidRDefault="00BA7DBE" w:rsidP="00BA7DBE">
      <w:pPr>
        <w:pStyle w:val="NormalWeb"/>
        <w:numPr>
          <w:ilvl w:val="0"/>
          <w:numId w:val="1"/>
        </w:numPr>
        <w:spacing w:before="8" w:beforeAutospacing="0" w:after="0" w:afterAutospacing="0"/>
        <w:ind w:right="6"/>
        <w:jc w:val="both"/>
        <w:rPr>
          <w:sz w:val="28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El cónyuge, compañero o compañera permanente del servidor público en los niveles directivo, asesor, ejecutivo, o de un miembro de la junta o consejo directivo, o de quien ejerza funciones de control interno o de control fiscal. </w:t>
      </w:r>
    </w:p>
    <w:p w:rsidR="00FF7A8D" w:rsidRPr="00BA7DBE" w:rsidRDefault="00BA7DBE" w:rsidP="00BA7DBE">
      <w:pPr>
        <w:pStyle w:val="NormalWeb"/>
        <w:numPr>
          <w:ilvl w:val="0"/>
          <w:numId w:val="1"/>
        </w:numPr>
        <w:spacing w:before="8" w:beforeAutospacing="0" w:after="0" w:afterAutospacing="0"/>
        <w:ind w:right="8"/>
        <w:rPr>
          <w:rFonts w:ascii="Calibri" w:hAnsi="Calibri" w:cs="Calibri"/>
          <w:color w:val="000000"/>
          <w:szCs w:val="22"/>
          <w:lang w:val="es-ES"/>
        </w:rPr>
      </w:pPr>
      <w:r w:rsidRPr="004B4099">
        <w:rPr>
          <w:rFonts w:ascii="Calibri" w:hAnsi="Calibri" w:cs="Calibri"/>
          <w:color w:val="000000"/>
          <w:szCs w:val="22"/>
          <w:lang w:val="es-ES"/>
        </w:rPr>
        <w:t>Los miembros de las juntas o consejos directivos. Esta incompatibilidad sólo se predica respecto de la entidad a la cual prestan sus servicios y de las del sector administrativo al que la misma esté adscrita o vinculada y que cumplan con el perfil establecido. </w:t>
      </w:r>
      <w:bookmarkStart w:id="0" w:name="_GoBack"/>
      <w:bookmarkEnd w:id="0"/>
    </w:p>
    <w:sectPr w:rsidR="00FF7A8D" w:rsidRPr="00BA7DBE" w:rsidSect="00A5409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26D86"/>
    <w:multiLevelType w:val="hybridMultilevel"/>
    <w:tmpl w:val="953A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4BF0"/>
    <w:multiLevelType w:val="hybridMultilevel"/>
    <w:tmpl w:val="F01E3C0A"/>
    <w:lvl w:ilvl="0" w:tplc="47F02078">
      <w:start w:val="1"/>
      <w:numFmt w:val="upperLetter"/>
      <w:lvlText w:val="%1."/>
      <w:lvlJc w:val="left"/>
      <w:pPr>
        <w:ind w:left="1882" w:hanging="360"/>
      </w:pPr>
      <w:rPr>
        <w:rFonts w:ascii="Calibri" w:hAnsi="Calibri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02" w:hanging="360"/>
      </w:pPr>
    </w:lvl>
    <w:lvl w:ilvl="2" w:tplc="0409001B" w:tentative="1">
      <w:start w:val="1"/>
      <w:numFmt w:val="lowerRoman"/>
      <w:lvlText w:val="%3."/>
      <w:lvlJc w:val="right"/>
      <w:pPr>
        <w:ind w:left="3322" w:hanging="180"/>
      </w:pPr>
    </w:lvl>
    <w:lvl w:ilvl="3" w:tplc="0409000F" w:tentative="1">
      <w:start w:val="1"/>
      <w:numFmt w:val="decimal"/>
      <w:lvlText w:val="%4."/>
      <w:lvlJc w:val="left"/>
      <w:pPr>
        <w:ind w:left="4042" w:hanging="360"/>
      </w:pPr>
    </w:lvl>
    <w:lvl w:ilvl="4" w:tplc="04090019" w:tentative="1">
      <w:start w:val="1"/>
      <w:numFmt w:val="lowerLetter"/>
      <w:lvlText w:val="%5."/>
      <w:lvlJc w:val="left"/>
      <w:pPr>
        <w:ind w:left="4762" w:hanging="360"/>
      </w:pPr>
    </w:lvl>
    <w:lvl w:ilvl="5" w:tplc="0409001B" w:tentative="1">
      <w:start w:val="1"/>
      <w:numFmt w:val="lowerRoman"/>
      <w:lvlText w:val="%6."/>
      <w:lvlJc w:val="right"/>
      <w:pPr>
        <w:ind w:left="5482" w:hanging="180"/>
      </w:pPr>
    </w:lvl>
    <w:lvl w:ilvl="6" w:tplc="0409000F" w:tentative="1">
      <w:start w:val="1"/>
      <w:numFmt w:val="decimal"/>
      <w:lvlText w:val="%7."/>
      <w:lvlJc w:val="left"/>
      <w:pPr>
        <w:ind w:left="6202" w:hanging="360"/>
      </w:pPr>
    </w:lvl>
    <w:lvl w:ilvl="7" w:tplc="04090019" w:tentative="1">
      <w:start w:val="1"/>
      <w:numFmt w:val="lowerLetter"/>
      <w:lvlText w:val="%8."/>
      <w:lvlJc w:val="left"/>
      <w:pPr>
        <w:ind w:left="6922" w:hanging="360"/>
      </w:pPr>
    </w:lvl>
    <w:lvl w:ilvl="8" w:tplc="0409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2" w15:restartNumberingAfterBreak="0">
    <w:nsid w:val="439613AE"/>
    <w:multiLevelType w:val="hybridMultilevel"/>
    <w:tmpl w:val="706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9C"/>
    <w:rsid w:val="000C0E19"/>
    <w:rsid w:val="00191899"/>
    <w:rsid w:val="00353A01"/>
    <w:rsid w:val="004B4099"/>
    <w:rsid w:val="004B5A57"/>
    <w:rsid w:val="004D0CEF"/>
    <w:rsid w:val="005347E6"/>
    <w:rsid w:val="005C2CAD"/>
    <w:rsid w:val="00685EB2"/>
    <w:rsid w:val="008D697D"/>
    <w:rsid w:val="009E47B3"/>
    <w:rsid w:val="00A5409C"/>
    <w:rsid w:val="00BA7DBE"/>
    <w:rsid w:val="00BF60D6"/>
    <w:rsid w:val="00EB4210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C802"/>
  <w15:chartTrackingRefBased/>
  <w15:docId w15:val="{77B61C04-DD11-4124-A3A0-204A778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2</cp:revision>
  <cp:lastPrinted>2023-11-02T15:41:00Z</cp:lastPrinted>
  <dcterms:created xsi:type="dcterms:W3CDTF">2023-11-02T17:19:00Z</dcterms:created>
  <dcterms:modified xsi:type="dcterms:W3CDTF">2023-11-02T17:19:00Z</dcterms:modified>
</cp:coreProperties>
</file>